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B470" w14:textId="77777777" w:rsidR="00E6538D" w:rsidRDefault="001224A7" w:rsidP="002F72F8">
      <w:pPr>
        <w:spacing w:after="0" w:line="240" w:lineRule="auto"/>
        <w:jc w:val="center"/>
        <w:rPr>
          <w:rFonts w:ascii="Verdana" w:hAnsi="Verdana"/>
          <w:b/>
          <w:sz w:val="20"/>
          <w:szCs w:val="20"/>
          <w:u w:val="single"/>
        </w:rPr>
      </w:pPr>
      <w:r>
        <w:rPr>
          <w:rFonts w:ascii="Verdana" w:hAnsi="Verdana"/>
          <w:b/>
          <w:sz w:val="20"/>
          <w:szCs w:val="20"/>
          <w:u w:val="single"/>
        </w:rPr>
        <w:t xml:space="preserve">Caso </w:t>
      </w:r>
      <w:r w:rsidR="000111B3">
        <w:rPr>
          <w:rFonts w:ascii="Verdana" w:hAnsi="Verdana"/>
          <w:b/>
          <w:sz w:val="20"/>
          <w:szCs w:val="20"/>
          <w:u w:val="single"/>
        </w:rPr>
        <w:t>Claude Reyes y otros</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Chile: reparaciones declaradas cumplidas</w:t>
      </w:r>
    </w:p>
    <w:p w14:paraId="7584CAC0" w14:textId="77777777" w:rsidR="002F72F8" w:rsidRDefault="002F72F8" w:rsidP="00BE4BA7">
      <w:pPr>
        <w:spacing w:after="0" w:line="240" w:lineRule="auto"/>
        <w:rPr>
          <w:rFonts w:ascii="Verdana" w:hAnsi="Verdana"/>
          <w:b/>
          <w:sz w:val="20"/>
          <w:szCs w:val="20"/>
          <w:u w:val="single"/>
        </w:rPr>
      </w:pPr>
    </w:p>
    <w:p w14:paraId="02630D6F" w14:textId="6FFED34E" w:rsidR="00706020" w:rsidRDefault="00706020" w:rsidP="002F72F8">
      <w:pPr>
        <w:pStyle w:val="Prrafodelista"/>
        <w:numPr>
          <w:ilvl w:val="0"/>
          <w:numId w:val="2"/>
        </w:numPr>
        <w:spacing w:after="0" w:line="240" w:lineRule="auto"/>
        <w:ind w:left="0" w:firstLine="0"/>
        <w:jc w:val="both"/>
        <w:rPr>
          <w:rFonts w:ascii="Verdana" w:hAnsi="Verdana"/>
          <w:sz w:val="20"/>
          <w:szCs w:val="20"/>
        </w:rPr>
      </w:pPr>
      <w:r>
        <w:rPr>
          <w:rFonts w:ascii="Verdana" w:hAnsi="Verdana"/>
          <w:sz w:val="20"/>
          <w:szCs w:val="20"/>
        </w:rPr>
        <w:t>E</w:t>
      </w:r>
      <w:r w:rsidRPr="00706020">
        <w:rPr>
          <w:rFonts w:ascii="Verdana" w:hAnsi="Verdana"/>
          <w:sz w:val="20"/>
          <w:szCs w:val="20"/>
        </w:rPr>
        <w:t>ntregar</w:t>
      </w:r>
      <w:r>
        <w:rPr>
          <w:rFonts w:ascii="Verdana" w:hAnsi="Verdana"/>
          <w:sz w:val="20"/>
          <w:szCs w:val="20"/>
        </w:rPr>
        <w:t xml:space="preserve">, a través de la entidad correspondiente </w:t>
      </w:r>
      <w:r w:rsidRPr="00706020">
        <w:rPr>
          <w:rFonts w:ascii="Verdana" w:hAnsi="Verdana"/>
          <w:sz w:val="20"/>
          <w:szCs w:val="20"/>
        </w:rPr>
        <w:t xml:space="preserve">la información solicitada por las víctimas, en su caso, o adoptar una decisión fundamentada al respecto, en los términos de los párrafos 157 a 159 y 168 de la Sentencia. </w:t>
      </w:r>
    </w:p>
    <w:p w14:paraId="2D06FB2C" w14:textId="77777777" w:rsidR="00706020" w:rsidRDefault="00706020" w:rsidP="002F72F8">
      <w:pPr>
        <w:pStyle w:val="Prrafodelista"/>
        <w:spacing w:after="0" w:line="240" w:lineRule="auto"/>
        <w:ind w:left="0"/>
        <w:jc w:val="both"/>
        <w:rPr>
          <w:rFonts w:ascii="Verdana" w:hAnsi="Verdana"/>
          <w:sz w:val="20"/>
          <w:szCs w:val="20"/>
        </w:rPr>
      </w:pPr>
    </w:p>
    <w:p w14:paraId="7FDE8207" w14:textId="1615B7ED" w:rsidR="00706020" w:rsidRDefault="00706020" w:rsidP="002F72F8">
      <w:pPr>
        <w:pStyle w:val="Prrafodelista"/>
        <w:numPr>
          <w:ilvl w:val="0"/>
          <w:numId w:val="2"/>
        </w:numPr>
        <w:spacing w:after="0" w:line="240" w:lineRule="auto"/>
        <w:ind w:left="0" w:firstLine="0"/>
        <w:jc w:val="both"/>
        <w:rPr>
          <w:rFonts w:ascii="Verdana" w:hAnsi="Verdana"/>
          <w:sz w:val="20"/>
          <w:szCs w:val="20"/>
        </w:rPr>
      </w:pPr>
      <w:r w:rsidRPr="00706020">
        <w:rPr>
          <w:rFonts w:ascii="Verdana" w:hAnsi="Verdana"/>
          <w:sz w:val="20"/>
          <w:szCs w:val="20"/>
        </w:rPr>
        <w:t>Publicar</w:t>
      </w:r>
      <w:r w:rsidR="00DC5734">
        <w:rPr>
          <w:rFonts w:ascii="Verdana" w:hAnsi="Verdana"/>
          <w:sz w:val="20"/>
          <w:szCs w:val="20"/>
        </w:rPr>
        <w:t xml:space="preserve"> </w:t>
      </w:r>
      <w:r w:rsidRPr="00706020">
        <w:rPr>
          <w:rFonts w:ascii="Verdana" w:hAnsi="Verdana"/>
          <w:sz w:val="20"/>
          <w:szCs w:val="20"/>
        </w:rPr>
        <w:t xml:space="preserve">en el Diario Oficial y en otro diario de amplia circulación nacional, por una sola vez, el capítulo relativo a los Hechos Probados de esta Sentencia, los párrafos 69 a 71, 73, 74, 77, 88 a 103, 117 a 123, 132 a 137 y 139 a 143 de la presente Sentencia, que corresponden a los capítulos VII y VIII sobre las violaciones declaradas por la Corte, sin las notas al pie de página correspondientes, y la parte resolutiva de la misma, en los términos de los párrafos 160 y 168 de la Sentencia. </w:t>
      </w:r>
    </w:p>
    <w:p w14:paraId="162F3C7C" w14:textId="77777777" w:rsidR="00706020" w:rsidRPr="00706020" w:rsidRDefault="00706020" w:rsidP="002F72F8">
      <w:pPr>
        <w:pStyle w:val="Prrafodelista"/>
        <w:spacing w:after="0" w:line="240" w:lineRule="auto"/>
        <w:rPr>
          <w:rFonts w:ascii="Verdana" w:hAnsi="Verdana"/>
          <w:sz w:val="20"/>
          <w:szCs w:val="20"/>
        </w:rPr>
      </w:pPr>
    </w:p>
    <w:p w14:paraId="2D3010ED" w14:textId="5A3DB7F8" w:rsidR="00706020" w:rsidRDefault="00706020" w:rsidP="002F72F8">
      <w:pPr>
        <w:pStyle w:val="Prrafodelista"/>
        <w:numPr>
          <w:ilvl w:val="0"/>
          <w:numId w:val="2"/>
        </w:numPr>
        <w:spacing w:after="0" w:line="240" w:lineRule="auto"/>
        <w:ind w:left="0" w:firstLine="0"/>
        <w:jc w:val="both"/>
        <w:rPr>
          <w:rFonts w:ascii="Verdana" w:hAnsi="Verdana"/>
          <w:sz w:val="20"/>
          <w:szCs w:val="20"/>
        </w:rPr>
      </w:pPr>
      <w:r w:rsidRPr="00706020">
        <w:rPr>
          <w:rFonts w:ascii="Verdana" w:hAnsi="Verdana"/>
          <w:sz w:val="20"/>
          <w:szCs w:val="20"/>
        </w:rPr>
        <w:t xml:space="preserve">Adoptar, en un plazo razonable, las medidas necesarias para garantizar el derecho de acceso a la información bajo el control del Estado, de acuerdo al deber general de adoptar disposiciones de derecho interno establecido en el artículo 2 de la Convención Americana sobre Derechos Humanos, en los términos de los párrafos 161 a 163 y 168 de la Sentencia. </w:t>
      </w:r>
    </w:p>
    <w:p w14:paraId="28063090" w14:textId="77777777" w:rsidR="00706020" w:rsidRPr="00706020" w:rsidRDefault="00706020" w:rsidP="002F72F8">
      <w:pPr>
        <w:pStyle w:val="Prrafodelista"/>
        <w:spacing w:after="0" w:line="240" w:lineRule="auto"/>
        <w:rPr>
          <w:rFonts w:ascii="Verdana" w:hAnsi="Verdana"/>
          <w:sz w:val="20"/>
          <w:szCs w:val="20"/>
        </w:rPr>
      </w:pPr>
    </w:p>
    <w:p w14:paraId="1081BD56" w14:textId="5B97116B" w:rsidR="00706020" w:rsidRDefault="00706020" w:rsidP="002F72F8">
      <w:pPr>
        <w:pStyle w:val="Prrafodelista"/>
        <w:numPr>
          <w:ilvl w:val="0"/>
          <w:numId w:val="2"/>
        </w:numPr>
        <w:spacing w:after="0" w:line="240" w:lineRule="auto"/>
        <w:ind w:left="0" w:firstLine="0"/>
        <w:jc w:val="both"/>
        <w:rPr>
          <w:rFonts w:ascii="Verdana" w:hAnsi="Verdana"/>
          <w:sz w:val="20"/>
          <w:szCs w:val="20"/>
        </w:rPr>
      </w:pPr>
      <w:r w:rsidRPr="00706020">
        <w:rPr>
          <w:rFonts w:ascii="Verdana" w:hAnsi="Verdana"/>
          <w:sz w:val="20"/>
          <w:szCs w:val="20"/>
        </w:rPr>
        <w:t xml:space="preserve">Realizar, en un plazo razonable, la capacitación a los órganos, autoridades y agentes públicos encargados de atender las solicitudes de acceso a información bajo el control del Estado sobre la normativa que rige este derecho, que incorpore los parámetros convencionales que deben respetarse en materia de restricciones al acceso a dicha información, en los términos de los párrafos 164, 165 y 168 de la Sentencia. </w:t>
      </w:r>
    </w:p>
    <w:p w14:paraId="5C49487C" w14:textId="77777777" w:rsidR="00706020" w:rsidRPr="00706020" w:rsidRDefault="00706020" w:rsidP="002F72F8">
      <w:pPr>
        <w:pStyle w:val="Prrafodelista"/>
        <w:spacing w:after="0" w:line="240" w:lineRule="auto"/>
        <w:rPr>
          <w:rFonts w:ascii="Verdana" w:hAnsi="Verdana"/>
          <w:sz w:val="20"/>
          <w:szCs w:val="20"/>
        </w:rPr>
      </w:pPr>
    </w:p>
    <w:p w14:paraId="026E9863" w14:textId="474B0C5C" w:rsidR="00E6538D" w:rsidRPr="00706020" w:rsidRDefault="00706020" w:rsidP="002F72F8">
      <w:pPr>
        <w:pStyle w:val="Prrafodelista"/>
        <w:numPr>
          <w:ilvl w:val="0"/>
          <w:numId w:val="2"/>
        </w:numPr>
        <w:spacing w:after="0" w:line="240" w:lineRule="auto"/>
        <w:ind w:left="0" w:firstLine="0"/>
        <w:jc w:val="both"/>
        <w:rPr>
          <w:rFonts w:ascii="Verdana" w:hAnsi="Verdana"/>
          <w:sz w:val="20"/>
          <w:szCs w:val="20"/>
        </w:rPr>
      </w:pPr>
      <w:r w:rsidRPr="00706020">
        <w:rPr>
          <w:rFonts w:ascii="Verdana" w:hAnsi="Verdana"/>
          <w:sz w:val="20"/>
          <w:szCs w:val="20"/>
        </w:rPr>
        <w:t>Pagar, por concepto de costas y gastos, la cantidad fijada en el párrafo 167 de la presente Sentencia</w:t>
      </w:r>
      <w:r w:rsidR="00DC5734">
        <w:rPr>
          <w:rFonts w:ascii="Verdana" w:hAnsi="Verdana"/>
          <w:sz w:val="20"/>
          <w:szCs w:val="20"/>
        </w:rPr>
        <w:t>.</w:t>
      </w:r>
    </w:p>
    <w:sectPr w:rsidR="00E6538D" w:rsidRPr="0070602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8FB8" w14:textId="77777777" w:rsidR="00E6538D" w:rsidRDefault="00E6538D" w:rsidP="00E6538D">
      <w:pPr>
        <w:spacing w:after="0" w:line="240" w:lineRule="auto"/>
      </w:pPr>
      <w:r>
        <w:separator/>
      </w:r>
    </w:p>
  </w:endnote>
  <w:endnote w:type="continuationSeparator" w:id="0">
    <w:p w14:paraId="4A2E63C5"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3272"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44CFFA88"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D18C" w14:textId="77777777" w:rsidR="00E6538D" w:rsidRDefault="00E6538D" w:rsidP="00E6538D">
      <w:pPr>
        <w:spacing w:after="0" w:line="240" w:lineRule="auto"/>
      </w:pPr>
      <w:r>
        <w:separator/>
      </w:r>
    </w:p>
  </w:footnote>
  <w:footnote w:type="continuationSeparator" w:id="0">
    <w:p w14:paraId="0B46E118"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0996103">
    <w:abstractNumId w:val="0"/>
  </w:num>
  <w:num w:numId="2" w16cid:durableId="52857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1224A7"/>
    <w:rsid w:val="002F72F8"/>
    <w:rsid w:val="00706020"/>
    <w:rsid w:val="00BE4BA7"/>
    <w:rsid w:val="00D60FF1"/>
    <w:rsid w:val="00DC5734"/>
    <w:rsid w:val="00E653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066C"/>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7</cp:revision>
  <dcterms:created xsi:type="dcterms:W3CDTF">2018-06-21T21:55:00Z</dcterms:created>
  <dcterms:modified xsi:type="dcterms:W3CDTF">2023-09-29T20:51:00Z</dcterms:modified>
</cp:coreProperties>
</file>